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9419E" w14:textId="77777777" w:rsidR="00C05E9D" w:rsidRDefault="00E26BEB">
      <w:pPr>
        <w:snapToGrid w:val="0"/>
        <w:spacing w:afterLines="100" w:after="289"/>
        <w:jc w:val="center"/>
        <w:rPr>
          <w:rFonts w:ascii="方正小标宋简体" w:eastAsia="方正小标宋简体"/>
          <w:sz w:val="44"/>
          <w:szCs w:val="44"/>
        </w:rPr>
      </w:pPr>
      <w:r w:rsidRPr="00E26BEB">
        <w:rPr>
          <w:rFonts w:ascii="方正小标宋简体" w:eastAsia="方正小标宋简体" w:hint="eastAsia"/>
          <w:sz w:val="44"/>
          <w:szCs w:val="44"/>
          <w:highlight w:val="yellow"/>
        </w:rPr>
        <w:t>XX</w:t>
      </w:r>
      <w:r w:rsidRPr="00E26BEB">
        <w:rPr>
          <w:rFonts w:ascii="方正小标宋简体" w:eastAsia="方正小标宋简体" w:hint="eastAsia"/>
          <w:sz w:val="44"/>
          <w:szCs w:val="44"/>
          <w:highlight w:val="yellow"/>
        </w:rPr>
        <w:t>单位</w:t>
      </w:r>
      <w:r>
        <w:rPr>
          <w:rFonts w:ascii="方正小标宋简体" w:eastAsia="方正小标宋简体" w:hint="eastAsia"/>
          <w:sz w:val="44"/>
          <w:szCs w:val="44"/>
        </w:rPr>
        <w:t>内部控制领导小组会议纪要</w:t>
      </w:r>
    </w:p>
    <w:p w14:paraId="2B471BEC" w14:textId="77777777" w:rsidR="00C05E9D" w:rsidRDefault="00E26BEB">
      <w:pPr>
        <w:spacing w:line="560" w:lineRule="exact"/>
        <w:jc w:val="left"/>
        <w:rPr>
          <w:rFonts w:ascii="仿宋_GB2312" w:eastAsia="仿宋_GB2312"/>
          <w:sz w:val="32"/>
          <w:szCs w:val="32"/>
        </w:rPr>
      </w:pPr>
      <w:r>
        <w:rPr>
          <w:rFonts w:ascii="仿宋_GB2312" w:eastAsia="仿宋_GB2312" w:hint="eastAsia"/>
          <w:sz w:val="32"/>
          <w:szCs w:val="32"/>
        </w:rPr>
        <w:t>会议时间：</w:t>
      </w:r>
      <w:r>
        <w:rPr>
          <w:rFonts w:ascii="仿宋_GB2312" w:eastAsia="仿宋_GB2312"/>
          <w:sz w:val="32"/>
          <w:szCs w:val="32"/>
        </w:rPr>
        <w:t>20</w:t>
      </w:r>
      <w:r>
        <w:rPr>
          <w:rFonts w:ascii="仿宋_GB2312" w:eastAsia="仿宋_GB2312" w:hint="eastAsia"/>
          <w:sz w:val="32"/>
          <w:szCs w:val="32"/>
        </w:rPr>
        <w:t>21</w:t>
      </w:r>
      <w:r>
        <w:rPr>
          <w:rFonts w:ascii="仿宋_GB2312" w:eastAsia="仿宋_GB2312" w:hint="eastAsia"/>
          <w:sz w:val="32"/>
          <w:szCs w:val="32"/>
        </w:rPr>
        <w:t>年</w:t>
      </w:r>
      <w:r>
        <w:rPr>
          <w:rFonts w:ascii="仿宋_GB2312" w:eastAsia="仿宋_GB2312" w:hint="eastAsia"/>
          <w:sz w:val="32"/>
          <w:szCs w:val="32"/>
        </w:rPr>
        <w:t>7</w:t>
      </w:r>
      <w:r>
        <w:rPr>
          <w:rFonts w:ascii="仿宋_GB2312" w:eastAsia="仿宋_GB2312" w:hint="eastAsia"/>
          <w:sz w:val="32"/>
          <w:szCs w:val="32"/>
        </w:rPr>
        <w:t>月</w:t>
      </w:r>
      <w:r>
        <w:rPr>
          <w:rFonts w:ascii="仿宋_GB2312" w:eastAsia="仿宋_GB2312"/>
          <w:sz w:val="32"/>
          <w:szCs w:val="32"/>
        </w:rPr>
        <w:t>2</w:t>
      </w:r>
      <w:r>
        <w:rPr>
          <w:rFonts w:ascii="仿宋_GB2312" w:eastAsia="仿宋_GB2312" w:hint="eastAsia"/>
          <w:sz w:val="32"/>
          <w:szCs w:val="32"/>
        </w:rPr>
        <w:t>3</w:t>
      </w:r>
      <w:r>
        <w:rPr>
          <w:rFonts w:ascii="仿宋_GB2312" w:eastAsia="仿宋_GB2312" w:hint="eastAsia"/>
          <w:sz w:val="32"/>
          <w:szCs w:val="32"/>
        </w:rPr>
        <w:t>号</w:t>
      </w:r>
    </w:p>
    <w:p w14:paraId="6206F82F" w14:textId="77777777" w:rsidR="00C05E9D" w:rsidRDefault="00E26BEB">
      <w:pPr>
        <w:spacing w:line="560" w:lineRule="exact"/>
        <w:jc w:val="left"/>
        <w:rPr>
          <w:rFonts w:ascii="仿宋_GB2312" w:eastAsia="仿宋_GB2312"/>
          <w:sz w:val="32"/>
          <w:szCs w:val="32"/>
        </w:rPr>
      </w:pPr>
      <w:r>
        <w:rPr>
          <w:rFonts w:ascii="仿宋_GB2312" w:eastAsia="仿宋_GB2312" w:hint="eastAsia"/>
          <w:sz w:val="32"/>
          <w:szCs w:val="32"/>
        </w:rPr>
        <w:t>会议地点：会议室</w:t>
      </w:r>
    </w:p>
    <w:p w14:paraId="406C1FE8" w14:textId="77777777" w:rsidR="00C05E9D" w:rsidRDefault="00E26BEB">
      <w:pPr>
        <w:spacing w:line="560" w:lineRule="exact"/>
        <w:jc w:val="left"/>
        <w:rPr>
          <w:rFonts w:ascii="仿宋_GB2312" w:eastAsia="仿宋_GB2312"/>
          <w:sz w:val="32"/>
          <w:szCs w:val="32"/>
        </w:rPr>
      </w:pPr>
      <w:r>
        <w:rPr>
          <w:rFonts w:ascii="仿宋_GB2312" w:eastAsia="仿宋_GB2312" w:hint="eastAsia"/>
          <w:sz w:val="32"/>
          <w:szCs w:val="32"/>
        </w:rPr>
        <w:t>主</w:t>
      </w:r>
      <w:r>
        <w:rPr>
          <w:rFonts w:ascii="仿宋_GB2312" w:eastAsia="仿宋_GB2312" w:hint="eastAsia"/>
          <w:sz w:val="32"/>
          <w:szCs w:val="32"/>
        </w:rPr>
        <w:t xml:space="preserve"> </w:t>
      </w:r>
      <w:r>
        <w:rPr>
          <w:rFonts w:ascii="仿宋_GB2312" w:eastAsia="仿宋_GB2312" w:hint="eastAsia"/>
          <w:sz w:val="32"/>
          <w:szCs w:val="32"/>
        </w:rPr>
        <w:t>持</w:t>
      </w:r>
      <w:r>
        <w:rPr>
          <w:rFonts w:ascii="仿宋_GB2312" w:eastAsia="仿宋_GB2312" w:hint="eastAsia"/>
          <w:sz w:val="32"/>
          <w:szCs w:val="32"/>
        </w:rPr>
        <w:t xml:space="preserve"> </w:t>
      </w:r>
      <w:r>
        <w:rPr>
          <w:rFonts w:ascii="仿宋_GB2312" w:eastAsia="仿宋_GB2312" w:hint="eastAsia"/>
          <w:sz w:val="32"/>
          <w:szCs w:val="32"/>
        </w:rPr>
        <w:t>人：</w:t>
      </w:r>
      <w:r w:rsidRPr="00E26BEB">
        <w:rPr>
          <w:rFonts w:ascii="仿宋_GB2312" w:eastAsia="仿宋_GB2312" w:cs="Times New Roman" w:hint="eastAsia"/>
          <w:sz w:val="32"/>
          <w:szCs w:val="32"/>
          <w:highlight w:val="yellow"/>
        </w:rPr>
        <w:t>XX</w:t>
      </w:r>
    </w:p>
    <w:p w14:paraId="0F10D24A" w14:textId="77777777" w:rsidR="00C05E9D" w:rsidRDefault="00E26BEB">
      <w:pPr>
        <w:spacing w:line="560" w:lineRule="exact"/>
        <w:jc w:val="left"/>
        <w:rPr>
          <w:rFonts w:ascii="仿宋_GB2312" w:eastAsia="仿宋_GB2312"/>
          <w:sz w:val="32"/>
          <w:szCs w:val="32"/>
        </w:rPr>
      </w:pPr>
      <w:r>
        <w:rPr>
          <w:rFonts w:ascii="仿宋_GB2312" w:eastAsia="仿宋_GB2312" w:hint="eastAsia"/>
          <w:sz w:val="32"/>
          <w:szCs w:val="32"/>
        </w:rPr>
        <w:t>会议议题：加强</w:t>
      </w:r>
      <w:r>
        <w:rPr>
          <w:rFonts w:ascii="仿宋_GB2312" w:eastAsia="仿宋_GB2312"/>
          <w:sz w:val="32"/>
          <w:szCs w:val="32"/>
        </w:rPr>
        <w:t>内部控制</w:t>
      </w:r>
      <w:r>
        <w:rPr>
          <w:rFonts w:ascii="仿宋_GB2312" w:eastAsia="仿宋_GB2312" w:hint="eastAsia"/>
          <w:sz w:val="32"/>
          <w:szCs w:val="32"/>
        </w:rPr>
        <w:t>的内部监督与</w:t>
      </w:r>
      <w:r>
        <w:rPr>
          <w:rFonts w:ascii="仿宋_GB2312" w:eastAsia="仿宋_GB2312"/>
          <w:sz w:val="32"/>
          <w:szCs w:val="32"/>
        </w:rPr>
        <w:t>自我评价</w:t>
      </w:r>
    </w:p>
    <w:p w14:paraId="13600D8B" w14:textId="77777777" w:rsidR="00C05E9D" w:rsidRDefault="00E26BEB">
      <w:pPr>
        <w:spacing w:line="360" w:lineRule="auto"/>
        <w:rPr>
          <w:rFonts w:ascii="宋体" w:eastAsia="宋体" w:hAnsi="宋体" w:cs="宋体"/>
          <w:sz w:val="22"/>
        </w:rPr>
      </w:pPr>
      <w:r>
        <w:rPr>
          <w:rFonts w:ascii="仿宋_GB2312" w:eastAsia="仿宋_GB2312" w:hint="eastAsia"/>
          <w:sz w:val="32"/>
          <w:szCs w:val="32"/>
        </w:rPr>
        <w:t>参会人员：</w:t>
      </w:r>
      <w:r w:rsidRPr="00E26BEB">
        <w:rPr>
          <w:rFonts w:ascii="仿宋_GB2312" w:eastAsia="仿宋_GB2312" w:hint="eastAsia"/>
          <w:sz w:val="32"/>
          <w:szCs w:val="32"/>
          <w:highlight w:val="yellow"/>
        </w:rPr>
        <w:t>XXX</w:t>
      </w:r>
      <w:r w:rsidRPr="00E26BEB">
        <w:rPr>
          <w:rFonts w:ascii="仿宋_GB2312" w:eastAsia="仿宋_GB2312" w:hint="eastAsia"/>
          <w:sz w:val="32"/>
          <w:szCs w:val="32"/>
          <w:highlight w:val="yellow"/>
        </w:rPr>
        <w:t>、</w:t>
      </w:r>
      <w:r w:rsidRPr="00E26BEB">
        <w:rPr>
          <w:rFonts w:ascii="仿宋_GB2312" w:eastAsia="仿宋_GB2312" w:hint="eastAsia"/>
          <w:sz w:val="32"/>
          <w:szCs w:val="32"/>
          <w:highlight w:val="yellow"/>
        </w:rPr>
        <w:t>XXX</w:t>
      </w:r>
      <w:r w:rsidRPr="00E26BEB">
        <w:rPr>
          <w:rFonts w:ascii="仿宋_GB2312" w:eastAsia="仿宋_GB2312" w:hint="eastAsia"/>
          <w:sz w:val="32"/>
          <w:szCs w:val="32"/>
          <w:highlight w:val="yellow"/>
        </w:rPr>
        <w:t>、</w:t>
      </w:r>
      <w:r w:rsidRPr="00E26BEB">
        <w:rPr>
          <w:rFonts w:ascii="仿宋_GB2312" w:eastAsia="仿宋_GB2312" w:hint="eastAsia"/>
          <w:sz w:val="32"/>
          <w:szCs w:val="32"/>
          <w:highlight w:val="yellow"/>
        </w:rPr>
        <w:t>XXX</w:t>
      </w:r>
      <w:r w:rsidRPr="00E26BEB">
        <w:rPr>
          <w:rFonts w:ascii="仿宋_GB2312" w:eastAsia="仿宋_GB2312" w:hint="eastAsia"/>
          <w:sz w:val="32"/>
          <w:szCs w:val="32"/>
          <w:highlight w:val="yellow"/>
        </w:rPr>
        <w:t>、</w:t>
      </w:r>
      <w:r w:rsidRPr="00E26BEB">
        <w:rPr>
          <w:rFonts w:ascii="仿宋_GB2312" w:eastAsia="仿宋_GB2312" w:hint="eastAsia"/>
          <w:sz w:val="32"/>
          <w:szCs w:val="32"/>
          <w:highlight w:val="yellow"/>
        </w:rPr>
        <w:t>XXX</w:t>
      </w:r>
      <w:r w:rsidRPr="00E26BEB">
        <w:rPr>
          <w:rFonts w:ascii="仿宋_GB2312" w:eastAsia="仿宋_GB2312" w:hint="eastAsia"/>
          <w:sz w:val="32"/>
          <w:szCs w:val="32"/>
          <w:highlight w:val="yellow"/>
        </w:rPr>
        <w:t>······</w:t>
      </w:r>
    </w:p>
    <w:p w14:paraId="66F44ADC" w14:textId="77777777" w:rsidR="00C05E9D" w:rsidRDefault="00E26BEB">
      <w:pPr>
        <w:spacing w:line="560" w:lineRule="exact"/>
        <w:jc w:val="left"/>
        <w:rPr>
          <w:rFonts w:ascii="仿宋_GB2312" w:eastAsia="仿宋_GB2312"/>
          <w:sz w:val="32"/>
          <w:szCs w:val="32"/>
        </w:rPr>
      </w:pPr>
      <w:r>
        <w:rPr>
          <w:rFonts w:ascii="仿宋_GB2312" w:eastAsia="仿宋_GB2312" w:hint="eastAsia"/>
          <w:sz w:val="32"/>
          <w:szCs w:val="32"/>
        </w:rPr>
        <w:t>缺席人员：无</w:t>
      </w:r>
    </w:p>
    <w:p w14:paraId="44E8D10F"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我单位关注的风险是对合理保证单位经济活动合法合</w:t>
      </w:r>
      <w:proofErr w:type="gramStart"/>
      <w:r>
        <w:rPr>
          <w:rFonts w:ascii="仿宋_GB2312" w:eastAsia="仿宋_GB2312" w:hint="eastAsia"/>
          <w:sz w:val="32"/>
          <w:szCs w:val="32"/>
        </w:rPr>
        <w:t>规</w:t>
      </w:r>
      <w:proofErr w:type="gramEnd"/>
      <w:r>
        <w:rPr>
          <w:rFonts w:ascii="仿宋_GB2312" w:eastAsia="仿宋_GB2312" w:hint="eastAsia"/>
          <w:sz w:val="32"/>
          <w:szCs w:val="32"/>
        </w:rPr>
        <w:t>、</w:t>
      </w:r>
      <w:r>
        <w:rPr>
          <w:rFonts w:ascii="仿宋_GB2312" w:eastAsia="仿宋_GB2312"/>
          <w:sz w:val="32"/>
          <w:szCs w:val="32"/>
        </w:rPr>
        <w:t>资产安全和使用有</w:t>
      </w:r>
      <w:r>
        <w:rPr>
          <w:rFonts w:ascii="仿宋_GB2312" w:eastAsia="仿宋_GB2312" w:hint="eastAsia"/>
          <w:sz w:val="32"/>
          <w:szCs w:val="32"/>
        </w:rPr>
        <w:t>效、财务信息真实完整，</w:t>
      </w:r>
      <w:r>
        <w:rPr>
          <w:rFonts w:ascii="仿宋_GB2312" w:eastAsia="仿宋_GB2312"/>
          <w:sz w:val="32"/>
          <w:szCs w:val="32"/>
        </w:rPr>
        <w:t>有效防范舞弊和预防腐败</w:t>
      </w:r>
      <w:r>
        <w:rPr>
          <w:rFonts w:ascii="仿宋_GB2312" w:eastAsia="仿宋_GB2312" w:hint="eastAsia"/>
          <w:sz w:val="32"/>
          <w:szCs w:val="32"/>
        </w:rPr>
        <w:t>和</w:t>
      </w:r>
      <w:r>
        <w:rPr>
          <w:rFonts w:ascii="仿宋_GB2312" w:eastAsia="仿宋_GB2312"/>
          <w:sz w:val="32"/>
          <w:szCs w:val="32"/>
        </w:rPr>
        <w:t>提高公共服务的</w:t>
      </w:r>
      <w:r>
        <w:rPr>
          <w:rFonts w:ascii="仿宋_GB2312" w:eastAsia="仿宋_GB2312" w:hint="eastAsia"/>
          <w:sz w:val="32"/>
          <w:szCs w:val="32"/>
        </w:rPr>
        <w:t>效率和效果五个控制目标产生影响的因素。</w:t>
      </w:r>
    </w:p>
    <w:p w14:paraId="32A8FEF2"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应</w:t>
      </w:r>
      <w:r>
        <w:rPr>
          <w:rFonts w:ascii="仿宋_GB2312" w:eastAsia="仿宋_GB2312"/>
          <w:sz w:val="32"/>
          <w:szCs w:val="32"/>
        </w:rPr>
        <w:t>重点</w:t>
      </w:r>
      <w:r>
        <w:rPr>
          <w:rFonts w:ascii="仿宋_GB2312" w:eastAsia="仿宋_GB2312" w:hint="eastAsia"/>
          <w:sz w:val="32"/>
          <w:szCs w:val="32"/>
        </w:rPr>
        <w:t>防控组织机构风险、</w:t>
      </w:r>
      <w:r>
        <w:rPr>
          <w:rFonts w:ascii="仿宋_GB2312" w:eastAsia="仿宋_GB2312"/>
          <w:sz w:val="32"/>
          <w:szCs w:val="32"/>
        </w:rPr>
        <w:t>议事决策风险、关键岗位</w:t>
      </w:r>
      <w:r>
        <w:rPr>
          <w:rFonts w:ascii="仿宋_GB2312" w:eastAsia="仿宋_GB2312" w:hint="eastAsia"/>
          <w:sz w:val="32"/>
          <w:szCs w:val="32"/>
        </w:rPr>
        <w:t>风险、关键人员风险，</w:t>
      </w:r>
      <w:r>
        <w:rPr>
          <w:rFonts w:ascii="仿宋_GB2312" w:eastAsia="仿宋_GB2312"/>
          <w:sz w:val="32"/>
          <w:szCs w:val="32"/>
        </w:rPr>
        <w:t>其中：</w:t>
      </w:r>
    </w:p>
    <w:p w14:paraId="1849633B"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组织机构风险：单位内部机构设置不合理、</w:t>
      </w:r>
      <w:r>
        <w:rPr>
          <w:rFonts w:ascii="仿宋_GB2312" w:eastAsia="仿宋_GB2312"/>
          <w:sz w:val="32"/>
          <w:szCs w:val="32"/>
        </w:rPr>
        <w:t>部门权责分工不明确、</w:t>
      </w:r>
      <w:r>
        <w:rPr>
          <w:rFonts w:ascii="仿宋_GB2312" w:eastAsia="仿宋_GB2312" w:hint="eastAsia"/>
          <w:sz w:val="32"/>
          <w:szCs w:val="32"/>
        </w:rPr>
        <w:t>内部控制管理机制不健全等导致的风险。</w:t>
      </w:r>
    </w:p>
    <w:p w14:paraId="527095B1"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议事决策风险：单位经济活动决策程序不规范、</w:t>
      </w:r>
      <w:r>
        <w:rPr>
          <w:rFonts w:ascii="仿宋_GB2312" w:eastAsia="仿宋_GB2312"/>
          <w:sz w:val="32"/>
          <w:szCs w:val="32"/>
        </w:rPr>
        <w:t>不科学，决策程</w:t>
      </w:r>
      <w:r>
        <w:rPr>
          <w:rFonts w:ascii="仿宋_GB2312" w:eastAsia="仿宋_GB2312" w:hint="eastAsia"/>
          <w:sz w:val="32"/>
          <w:szCs w:val="32"/>
        </w:rPr>
        <w:t>序不合理、决策过程不民主、缺乏有效依据时的决策等导致的风险。</w:t>
      </w:r>
    </w:p>
    <w:p w14:paraId="442B772D"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关键岗位风险：</w:t>
      </w:r>
      <w:r>
        <w:rPr>
          <w:rFonts w:ascii="仿宋_GB2312" w:eastAsia="仿宋_GB2312"/>
          <w:sz w:val="32"/>
          <w:szCs w:val="32"/>
        </w:rPr>
        <w:t>单位关键岗位未识别、关键岗位职责权限不清晰</w:t>
      </w:r>
      <w:r>
        <w:rPr>
          <w:rFonts w:ascii="仿宋_GB2312" w:eastAsia="仿宋_GB2312" w:hint="eastAsia"/>
          <w:sz w:val="32"/>
          <w:szCs w:val="32"/>
        </w:rPr>
        <w:t>且分配不合理，</w:t>
      </w:r>
      <w:r>
        <w:rPr>
          <w:rFonts w:ascii="仿宋_GB2312" w:eastAsia="仿宋_GB2312"/>
          <w:sz w:val="32"/>
          <w:szCs w:val="32"/>
        </w:rPr>
        <w:t>关键岗位管理不规范、关键岗位考核机制不健全等导</w:t>
      </w:r>
      <w:r>
        <w:rPr>
          <w:rFonts w:ascii="仿宋_GB2312" w:eastAsia="仿宋_GB2312" w:hint="eastAsia"/>
          <w:sz w:val="32"/>
          <w:szCs w:val="32"/>
        </w:rPr>
        <w:t>致的风险。</w:t>
      </w:r>
    </w:p>
    <w:p w14:paraId="5287C4F3"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业务管理风险：单位在业务管理过程中，由于外部环境的复杂性和变动性以及主体对环境的认知能力和适应能力的有限性，</w:t>
      </w:r>
      <w:r>
        <w:rPr>
          <w:rFonts w:ascii="仿宋_GB2312" w:eastAsia="仿宋_GB2312" w:hint="eastAsia"/>
          <w:sz w:val="32"/>
          <w:szCs w:val="32"/>
        </w:rPr>
        <w:lastRenderedPageBreak/>
        <w:t>而导致的业务管理失败或使业务管理活动达不到预期目标的可能性及其损失。</w:t>
      </w:r>
    </w:p>
    <w:p w14:paraId="3D9B82AF"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sz w:val="32"/>
          <w:szCs w:val="32"/>
        </w:rPr>
        <w:t>财务风险：因单位财务结构不合理、资金使用不当，导致单位可能</w:t>
      </w:r>
      <w:r>
        <w:rPr>
          <w:rFonts w:ascii="仿宋_GB2312" w:eastAsia="仿宋_GB2312" w:hint="eastAsia"/>
          <w:sz w:val="32"/>
          <w:szCs w:val="32"/>
        </w:rPr>
        <w:t>丧失偿债能力（丧失资金支付能力）而导致陷入财务困境的风险。</w:t>
      </w:r>
    </w:p>
    <w:p w14:paraId="11F13657"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关键人员风险：</w:t>
      </w:r>
      <w:r>
        <w:rPr>
          <w:rFonts w:ascii="仿宋_GB2312" w:eastAsia="仿宋_GB2312"/>
          <w:sz w:val="32"/>
          <w:szCs w:val="32"/>
        </w:rPr>
        <w:t>单位关键人员胜任能力不足、对关键人员教育培</w:t>
      </w:r>
      <w:r>
        <w:rPr>
          <w:rFonts w:ascii="仿宋_GB2312" w:eastAsia="仿宋_GB2312" w:hint="eastAsia"/>
          <w:sz w:val="32"/>
          <w:szCs w:val="32"/>
        </w:rPr>
        <w:t>训不足、缺乏对关键人员有效评价机制等导致的风险。</w:t>
      </w:r>
    </w:p>
    <w:p w14:paraId="6DBE5502"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sz w:val="32"/>
          <w:szCs w:val="32"/>
        </w:rPr>
        <w:t>法律风险：单位在经营过程中违反法律法规，签订合同的内容在法</w:t>
      </w:r>
      <w:r>
        <w:rPr>
          <w:rFonts w:ascii="仿宋_GB2312" w:eastAsia="仿宋_GB2312" w:hint="eastAsia"/>
          <w:sz w:val="32"/>
          <w:szCs w:val="32"/>
        </w:rPr>
        <w:t>律上有缺陷或不完善而发生法律纠纷甚至无法履约，以及法</w:t>
      </w:r>
      <w:r>
        <w:rPr>
          <w:rFonts w:ascii="仿宋_GB2312" w:eastAsia="仿宋_GB2312" w:hint="eastAsia"/>
          <w:sz w:val="32"/>
          <w:szCs w:val="32"/>
        </w:rPr>
        <w:t>律的不完善或修订产生的不确定性等面临的风险。</w:t>
      </w:r>
    </w:p>
    <w:p w14:paraId="39D030C7"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主要</w:t>
      </w:r>
      <w:r>
        <w:rPr>
          <w:rFonts w:ascii="仿宋_GB2312" w:eastAsia="仿宋_GB2312"/>
          <w:sz w:val="32"/>
          <w:szCs w:val="32"/>
        </w:rPr>
        <w:t>采取</w:t>
      </w:r>
      <w:r>
        <w:rPr>
          <w:rFonts w:ascii="仿宋_GB2312" w:eastAsia="仿宋_GB2312" w:hint="eastAsia"/>
          <w:sz w:val="32"/>
          <w:szCs w:val="32"/>
        </w:rPr>
        <w:t>不相容岗位相互分离、内部授权审批控制、归口管理、预算控制、财产保护控制、会计控制、单据控制、信息内部公开等风险</w:t>
      </w:r>
      <w:r>
        <w:rPr>
          <w:rFonts w:ascii="仿宋_GB2312" w:eastAsia="仿宋_GB2312"/>
          <w:sz w:val="32"/>
          <w:szCs w:val="32"/>
        </w:rPr>
        <w:t>控制方法</w:t>
      </w:r>
      <w:r>
        <w:rPr>
          <w:rFonts w:ascii="仿宋_GB2312" w:eastAsia="仿宋_GB2312" w:hint="eastAsia"/>
          <w:sz w:val="32"/>
          <w:szCs w:val="32"/>
        </w:rPr>
        <w:t>，对已制定的风险管理策略的有效性和合理性进行定期总结和分析，随着我单位经济状况的变化，实施战略、规划的变化，外部环境风险的变化，定期对风险管理策略进行调整，不断修订和完善。</w:t>
      </w:r>
    </w:p>
    <w:p w14:paraId="02EC104C" w14:textId="77777777" w:rsidR="00C05E9D" w:rsidRDefault="00E26BEB">
      <w:pPr>
        <w:spacing w:line="560" w:lineRule="exact"/>
        <w:ind w:firstLineChars="200" w:firstLine="640"/>
        <w:rPr>
          <w:rFonts w:ascii="仿宋_GB2312" w:eastAsia="仿宋_GB2312"/>
          <w:sz w:val="32"/>
          <w:szCs w:val="32"/>
        </w:rPr>
      </w:pPr>
      <w:r>
        <w:rPr>
          <w:rFonts w:ascii="仿宋_GB2312" w:eastAsia="仿宋_GB2312" w:hint="eastAsia"/>
          <w:sz w:val="32"/>
          <w:szCs w:val="32"/>
        </w:rPr>
        <w:t>会议议定事项：</w:t>
      </w:r>
      <w:r>
        <w:rPr>
          <w:rFonts w:ascii="仿宋_GB2312" w:eastAsia="仿宋_GB2312" w:hint="eastAsia"/>
          <w:sz w:val="32"/>
          <w:szCs w:val="32"/>
        </w:rPr>
        <w:t>根据“</w:t>
      </w:r>
      <w:r>
        <w:rPr>
          <w:rFonts w:ascii="仿宋_GB2312" w:eastAsia="仿宋_GB2312" w:hint="eastAsia"/>
          <w:sz w:val="32"/>
          <w:szCs w:val="32"/>
        </w:rPr>
        <w:t>每年</w:t>
      </w:r>
      <w:r>
        <w:rPr>
          <w:rFonts w:ascii="仿宋_GB2312" w:eastAsia="仿宋_GB2312"/>
          <w:sz w:val="32"/>
          <w:szCs w:val="32"/>
        </w:rPr>
        <w:t>至少一次对单位内部进行全面的风险评估</w:t>
      </w:r>
      <w:r>
        <w:rPr>
          <w:rFonts w:ascii="仿宋_GB2312" w:eastAsia="仿宋_GB2312" w:hint="eastAsia"/>
          <w:sz w:val="32"/>
          <w:szCs w:val="32"/>
        </w:rPr>
        <w:t>”要求</w:t>
      </w:r>
      <w:r>
        <w:rPr>
          <w:rFonts w:ascii="仿宋_GB2312" w:eastAsia="仿宋_GB2312" w:hint="eastAsia"/>
          <w:sz w:val="32"/>
          <w:szCs w:val="32"/>
        </w:rPr>
        <w:t>，</w:t>
      </w:r>
      <w:proofErr w:type="gramStart"/>
      <w:r>
        <w:rPr>
          <w:rFonts w:ascii="仿宋_GB2312" w:eastAsia="仿宋_GB2312" w:hint="eastAsia"/>
          <w:sz w:val="32"/>
          <w:szCs w:val="32"/>
        </w:rPr>
        <w:t>由</w:t>
      </w:r>
      <w:r>
        <w:rPr>
          <w:rFonts w:ascii="仿宋_GB2312" w:eastAsia="仿宋_GB2312"/>
          <w:sz w:val="32"/>
          <w:szCs w:val="32"/>
        </w:rPr>
        <w:t>风险</w:t>
      </w:r>
      <w:proofErr w:type="gramEnd"/>
      <w:r>
        <w:rPr>
          <w:rFonts w:ascii="仿宋_GB2312" w:eastAsia="仿宋_GB2312"/>
          <w:sz w:val="32"/>
          <w:szCs w:val="32"/>
        </w:rPr>
        <w:t>评估小组</w:t>
      </w:r>
      <w:r>
        <w:rPr>
          <w:rFonts w:ascii="仿宋_GB2312" w:eastAsia="仿宋_GB2312" w:hint="eastAsia"/>
          <w:sz w:val="32"/>
          <w:szCs w:val="32"/>
        </w:rPr>
        <w:t>组织开展本年度风险评估，</w:t>
      </w:r>
      <w:r>
        <w:rPr>
          <w:rFonts w:ascii="仿宋_GB2312" w:eastAsia="仿宋_GB2312" w:hint="eastAsia"/>
          <w:sz w:val="32"/>
          <w:szCs w:val="32"/>
        </w:rPr>
        <w:t>负责</w:t>
      </w:r>
      <w:r>
        <w:rPr>
          <w:rFonts w:ascii="仿宋_GB2312" w:eastAsia="仿宋_GB2312"/>
          <w:sz w:val="32"/>
          <w:szCs w:val="32"/>
        </w:rPr>
        <w:t>风险</w:t>
      </w:r>
      <w:r>
        <w:rPr>
          <w:rFonts w:ascii="仿宋_GB2312" w:eastAsia="仿宋_GB2312" w:hint="eastAsia"/>
          <w:sz w:val="32"/>
          <w:szCs w:val="32"/>
        </w:rPr>
        <w:t>防控</w:t>
      </w:r>
      <w:r>
        <w:rPr>
          <w:rFonts w:ascii="仿宋_GB2312" w:eastAsia="仿宋_GB2312"/>
          <w:sz w:val="32"/>
          <w:szCs w:val="32"/>
        </w:rPr>
        <w:t>的总体指导和协调</w:t>
      </w:r>
      <w:r>
        <w:rPr>
          <w:rFonts w:ascii="仿宋_GB2312" w:eastAsia="仿宋_GB2312" w:hint="eastAsia"/>
          <w:sz w:val="32"/>
          <w:szCs w:val="32"/>
        </w:rPr>
        <w:t>，</w:t>
      </w:r>
      <w:r>
        <w:rPr>
          <w:rFonts w:ascii="仿宋_GB2312" w:eastAsia="仿宋_GB2312"/>
          <w:sz w:val="32"/>
          <w:szCs w:val="32"/>
        </w:rPr>
        <w:t>各</w:t>
      </w:r>
      <w:r>
        <w:rPr>
          <w:rFonts w:ascii="仿宋_GB2312" w:eastAsia="仿宋_GB2312" w:hint="eastAsia"/>
          <w:sz w:val="32"/>
          <w:szCs w:val="32"/>
        </w:rPr>
        <w:t>部门</w:t>
      </w:r>
      <w:r>
        <w:rPr>
          <w:rFonts w:ascii="仿宋_GB2312" w:eastAsia="仿宋_GB2312" w:hint="eastAsia"/>
          <w:sz w:val="32"/>
          <w:szCs w:val="32"/>
        </w:rPr>
        <w:t>配合</w:t>
      </w:r>
      <w:r>
        <w:rPr>
          <w:rFonts w:ascii="仿宋_GB2312" w:eastAsia="仿宋_GB2312" w:hint="eastAsia"/>
          <w:sz w:val="32"/>
          <w:szCs w:val="32"/>
        </w:rPr>
        <w:t>完成</w:t>
      </w:r>
      <w:r>
        <w:rPr>
          <w:rFonts w:ascii="仿宋_GB2312" w:eastAsia="仿宋_GB2312"/>
          <w:sz w:val="32"/>
          <w:szCs w:val="32"/>
        </w:rPr>
        <w:t>应对策略及应对方</w:t>
      </w:r>
      <w:r>
        <w:rPr>
          <w:rFonts w:ascii="仿宋_GB2312" w:eastAsia="仿宋_GB2312"/>
          <w:sz w:val="32"/>
          <w:szCs w:val="32"/>
        </w:rPr>
        <w:t>案。</w:t>
      </w:r>
    </w:p>
    <w:sectPr w:rsidR="00C05E9D">
      <w:pgSz w:w="11906" w:h="16838"/>
      <w:pgMar w:top="2098" w:right="1474" w:bottom="1984" w:left="1587" w:header="850" w:footer="992" w:gutter="0"/>
      <w:cols w:space="425"/>
      <w:docGrid w:type="lines" w:linePitch="28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28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A8"/>
    <w:rsid w:val="000B5A97"/>
    <w:rsid w:val="002C4029"/>
    <w:rsid w:val="004339A8"/>
    <w:rsid w:val="00496703"/>
    <w:rsid w:val="004C5DBE"/>
    <w:rsid w:val="00606CF9"/>
    <w:rsid w:val="006B1026"/>
    <w:rsid w:val="00731793"/>
    <w:rsid w:val="00861981"/>
    <w:rsid w:val="00A00A3B"/>
    <w:rsid w:val="00A47661"/>
    <w:rsid w:val="00B02546"/>
    <w:rsid w:val="00B84D30"/>
    <w:rsid w:val="00C05E9D"/>
    <w:rsid w:val="00C633A0"/>
    <w:rsid w:val="00E26BEB"/>
    <w:rsid w:val="00E560C6"/>
    <w:rsid w:val="00FB4D7D"/>
    <w:rsid w:val="0E250E8A"/>
    <w:rsid w:val="1C75509D"/>
    <w:rsid w:val="37890377"/>
    <w:rsid w:val="47B879DD"/>
    <w:rsid w:val="58637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E462DA"/>
  <w15:docId w15:val="{45A38B8E-80DF-42DD-B015-91CDCB4EF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777</Characters>
  <Application>Microsoft Office Word</Application>
  <DocSecurity>0</DocSecurity>
  <Lines>6</Lines>
  <Paragraphs>1</Paragraphs>
  <ScaleCrop>false</ScaleCrop>
  <Company>微软中国</Company>
  <LinksUpToDate>false</LinksUpToDate>
  <CharactersWithSpaces>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 序</dc:creator>
  <cp:lastModifiedBy>内控修订</cp:lastModifiedBy>
  <cp:revision>13</cp:revision>
  <dcterms:created xsi:type="dcterms:W3CDTF">2019-03-05T07:48:00Z</dcterms:created>
  <dcterms:modified xsi:type="dcterms:W3CDTF">2022-05-16T09:38:00Z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69A8BE03B6CC4B5C9B646FA81F0CE925</vt:lpwstr>
  </property>
</Properties>
</file>